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56.png" ContentType="image/png"/>
  <Override PartName="/word/media/rId54.png" ContentType="image/png"/>
  <Override PartName="/word/media/rId58.png" ContentType="image/png"/>
  <Override PartName="/word/media/rId49.png" ContentType="image/png"/>
  <Override PartName="/word/media/rId160.png" ContentType="image/png"/>
  <Override PartName="/word/media/rId63.png" ContentType="image/png"/>
  <Override PartName="/word/media/rId152.png" ContentType="image/png"/>
  <Override PartName="/word/media/rId165.png" ContentType="image/png"/>
  <Override PartName="/word/media/rId175.png" ContentType="image/png"/>
  <Override PartName="/word/media/rId170.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for</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w:t>
      </w:r>
      <m:oMath>
        <m:r>
          <m:rPr>
            <m:sty m:val="p"/>
          </m:rPr>
          <m:t>‡</m:t>
        </m:r>
      </m:oMath>
      <w:r>
        <w:t xml:space="preserve">, Fonti Kar</w:t>
      </w:r>
      <w:r>
        <w:rPr>
          <w:vertAlign w:val="superscript"/>
        </w:rPr>
        <w:t xml:space="preserve">2</w:t>
      </w:r>
      <w:r>
        <w:t xml:space="preserve">, Alex Bush</w:t>
      </w:r>
      <w:r>
        <w:rPr>
          <w:vertAlign w:val="superscript"/>
        </w:rPr>
        <w:t xml:space="preserve">4</w:t>
      </w:r>
      <w:r>
        <w:t xml:space="preserve">, Frank Seebacher</w:t>
      </w:r>
      <w:r>
        <w:rPr>
          <w:vertAlign w:val="superscript"/>
        </w:rPr>
        <w:t xml:space="preserve">3</w:t>
      </w:r>
      <w:r>
        <w:t xml:space="preserve"> </w:t>
      </w:r>
      <m:oMath>
        <m:r>
          <m:rPr>
            <m:sty m:val="p"/>
          </m:rPr>
          <m:t>†</m:t>
        </m:r>
      </m:oMath>
      <w:r>
        <w:t xml:space="preserve">, &amp; Shinichi Nakagawa</w:t>
      </w:r>
      <w:r>
        <w:rPr>
          <w:vertAlign w:val="superscript"/>
        </w:rPr>
        <w:t xml:space="preserve">2</w:t>
      </w:r>
      <w:r>
        <w:t xml:space="preserve"> </w:t>
      </w:r>
      <m:oMath>
        <m:r>
          <m:rPr>
            <m:sty m:val="p"/>
          </m:rPr>
          <m:t>†</m:t>
        </m:r>
      </m:oMath>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SOLES, University of Sydney, Sydney, NSW, Australia 
</w:t>
      </w:r>
      <w:r>
        <w:br/>
      </w:r>
      <w:r>
        <w:rPr>
          <w:vertAlign w:val="superscript"/>
        </w:rPr>
        <w:t xml:space="preserve">4</w:t>
      </w:r>
      <w:r>
        <w:t xml:space="preserve"> </w:t>
      </w:r>
      <w:r>
        <w:t xml:space="preserve">Department of Biology, Lancaster University, Liverpool, UK 
</w:t>
      </w:r>
      <w:r>
        <w:br/>
      </w:r>
      <m:oMath>
        <m:r>
          <m:rPr>
            <m:sty m:val="p"/>
          </m:rPr>
          <m:t>†</m:t>
        </m:r>
      </m:oMath>
      <w:r>
        <w:t xml:space="preserve"> </w:t>
      </w:r>
      <w:r>
        <w:t xml:space="preserve">contributed equally 
</w:t>
      </w:r>
      <w:r>
        <w:br/>
      </w:r>
      <m:oMath>
        <m:r>
          <m:rPr>
            <m:sty m:val="p"/>
          </m:rPr>
          <m:t>‡</m:t>
        </m:r>
      </m:oMath>
      <w:r>
        <w:t xml:space="preserve"> </w:t>
      </w:r>
      <w:r>
        <w:t xml:space="preserve">corresponding author, daniel.noble@anu.edu.au 
</w:t>
      </w:r>
    </w:p>
    <w:bookmarkEnd w:id="20"/>
    <w:bookmarkStart w:id="21" w:name="abstract"/>
    <w:p>
      <w:pPr>
        <w:pStyle w:val="Heading2"/>
      </w:pPr>
      <w:r>
        <w:rPr>
          <w:bCs/>
          <w:b/>
        </w:rPr>
        <w:t xml:space="preserve">Abstract</w:t>
      </w:r>
    </w:p>
    <w:p>
      <w:pPr>
        <w:pStyle w:val="FirstParagraph"/>
      </w:pPr>
      <w:r>
        <w:t xml:space="preserve">Climate change is expected to result in warmer and more variable thermal environments globally. Greater thermal variability is expeced to result in strong selection pressures leading to genetic adaptation and/or the evolution of adaptive phenotypic plasticity. However, such responses depend on genetic and phenotypic variability, yet most work has focused on plastic changes in mean responses to climate warming ignoring how temperature changes variability. Here, using a large database of physiological rate data on marine, freshwater and terrestrial ectotherms we quantify the capacity for acclimation and the extent to which relative variance in physiological rates change in response to higher temperatures. Using new effect size measures and meta-analysis we show that physiological acclimation and changes in relative variance do not depend on past temperature variability and predictability experienced by a population or differ between life stages. Across habitats there was a general tendency for relative variation in physiological rates to decrease at higher temperatures. Freshwater ectotherms are capable of acclimating and such responses will likely be beneficial considering that these effects are larger than reductions in relative variance in physiological rates. In contrast, acclimation responses of marine organisms coincide with a nearly equal reduction in relative variance in physiolgical rates, suggesting acclimation may not be as beneficial as previously thought. Relative variance reductions are particularly pronounced for terrestrial ectotherms and this coincides with a general inability to acclimate highlighting the vulnerability of terrestrial ectotherms to climate change. Our results highlight the importance of considering changes in variance in physiological rates when predicting the capacity of populations to persist in and adapt to novel environments.</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extinction rates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plasticity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are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plasticity, such as acclimatization and behavioural plasticity, are expected to provide greater potential to buffer populations from climate impacts as responses can be fine-tuned to environments</w:t>
      </w:r>
      <w:r>
        <w:t xml:space="preserve"> </w:t>
      </w:r>
      <w:r>
        <w:t xml:space="preserve">(assuming the costs of plasticity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 in a population</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in a population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 for example, through</w:t>
      </w:r>
      <w:r>
        <w:t xml:space="preserve"> </w:t>
      </w:r>
      <w:r>
        <w:t xml:space="preserve">‘</w:t>
      </w:r>
      <w:r>
        <w:t xml:space="preserve">portfolio effects</w:t>
      </w:r>
      <w:r>
        <w:t xml:space="preserve">’</w:t>
      </w:r>
      <w:r>
        <w:t xml:space="preserve"> </w:t>
      </w:r>
      <w:r>
        <w:t xml:space="preserve">see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may also have important ecological consequences by promoting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 Hart</w:t>
      </w:r>
      <w:r>
        <w:t xml:space="preserve"> </w:t>
      </w:r>
      <w:r>
        <w:rPr>
          <w:iCs/>
          <w:i/>
        </w:rPr>
        <w:t xml:space="preserve">et al.</w:t>
      </w:r>
      <w:r>
        <w:t xml:space="preserve"> </w:t>
      </w:r>
      <w:r>
        <w:t xml:space="preserve">2016)</w:t>
      </w:r>
      <w:r>
        <w:t xml:space="preserve">. The implications of changes in variance could, therefore, have wide-reaching consequences for understanding the capacity of populations to persist in and adapt to novel environments but to date have been largely ignored</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(Hoffmann</w:t>
      </w:r>
      <w:r>
        <w:t xml:space="preserve"> </w:t>
      </w:r>
      <w:r>
        <w:rPr>
          <w:iCs/>
          <w:i/>
        </w:rPr>
        <w:t xml:space="preserve">et al.</w:t>
      </w:r>
      <w:r>
        <w:t xml:space="preserve"> </w:t>
      </w:r>
      <w:r>
        <w:t xml:space="preserve">2013; 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Seebacher</w:t>
      </w:r>
      <w:r>
        <w:t xml:space="preserve"> </w:t>
      </w:r>
      <w:r>
        <w:rPr>
          <w:iCs/>
          <w:i/>
        </w:rPr>
        <w:t xml:space="preserve">et al.</w:t>
      </w:r>
      <w:r>
        <w:t xml:space="preserve"> </w:t>
      </w:r>
      <w:r>
        <w:t xml:space="preserve">2015; Pottier</w:t>
      </w:r>
      <w:r>
        <w:t xml:space="preserve"> </w:t>
      </w:r>
      <w:r>
        <w:rPr>
          <w:iCs/>
          <w:i/>
        </w:rPr>
        <w:t xml:space="preserve">et al.</w:t>
      </w:r>
      <w:r>
        <w:t xml:space="preserve"> </w:t>
      </w:r>
      <w:r>
        <w:t xml:space="preserve">2022)</w:t>
      </w:r>
      <w:r>
        <w:t xml:space="preserve">, it is unclear if the magnitude of physiological adjustment is sufficient, particularly in combination with potential changes in other factors, such as genetic and phenotypic variability.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an increase in temperature may have a stronger impact on variation in physiological rates within populations compared to aquatic ectotherms. Reduced variability may result from variances being eroded by strong selection, an inability to adjust physiological rates, or a combination of both. Changes in physiological rate variance may therefore have important cascading effects on energy transfer and productivity for populations across these different ecosystems that are, as of yet, poorly measured and modelled.</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 the dataset of</w:t>
      </w:r>
      <w:r>
        <w:t xml:space="preserve"> </w:t>
      </w:r>
      <w:r>
        <w:t xml:space="preserve">Seebacher</w:t>
      </w:r>
      <w:r>
        <w:t xml:space="preserve"> </w:t>
      </w:r>
      <w:r>
        <w:rPr>
          <w:iCs/>
          <w:i/>
        </w:rPr>
        <w:t xml:space="preserve">et al.</w:t>
      </w:r>
      <w:r>
        <w:t xml:space="preserve"> </w:t>
      </w:r>
      <w:r>
        <w:t xml:space="preserve">(2015)</w:t>
      </w:r>
      <w:r>
        <w:t xml:space="preserve">’s.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physiological rates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 We provide a PRISMA flow diagram of our extraction process in the</w:t>
      </w:r>
      <w:r>
        <w:t xml:space="preserve"> </w:t>
      </w:r>
      <w:r>
        <w:rPr>
          <w:iCs/>
          <w:i/>
        </w:rPr>
        <w:t xml:space="preserve">Supplement</w:t>
      </w:r>
      <w:r>
        <w:t xml:space="preserve"> </w:t>
      </w:r>
      <w:r>
        <w:t xml:space="preserve">(see</w:t>
      </w:r>
      <w:r>
        <w:t xml:space="preserve"> </w:t>
      </w:r>
      <w:hyperlink w:anchor="fig-prisma">
        <w:r>
          <w:rPr>
            <w:rStyle w:val="Hyperlink"/>
          </w:rPr>
          <w:t xml:space="preserve">Figure 6</w:t>
        </w:r>
      </w:hyperlink>
      <w:r>
        <w:t xml:space="preserve">).</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 We refer to</w:t>
      </w:r>
      <w:r>
        <w:t xml:space="preserve"> </w:t>
      </w:r>
      <m:oMath>
        <m:r>
          <m:t>l</m:t>
        </m:r>
        <m:r>
          <m:t>n</m:t>
        </m:r>
        <m:r>
          <m:t>C</m:t>
        </m:r>
        <m:r>
          <m:t>V</m:t>
        </m:r>
        <m:sSub>
          <m:e>
            <m:r>
              <m:t>R</m:t>
            </m:r>
          </m:e>
          <m:sub>
            <m:sSub>
              <m:e>
                <m:r>
                  <m:t>Q</m:t>
                </m:r>
              </m:e>
              <m:sub>
                <m:r>
                  <m:t>10</m:t>
                </m:r>
              </m:sub>
            </m:sSub>
          </m:sub>
        </m:sSub>
      </m:oMath>
      <w:r>
        <w:t xml:space="preserve"> </w:t>
      </w:r>
      <w:r>
        <w:t xml:space="preserve">as relative variance because variance changes are relative to the mean.</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that climate warming will have on physiological rate variance.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2.19.0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 n.d.)</w:t>
      </w:r>
      <w:r>
        <w:t xml:space="preserve">. In addition, Bayesian methods better protect against type I errors in the presence of complex sources of non-independence</w:t>
      </w:r>
      <w:r>
        <w:t xml:space="preserve"> </w:t>
      </w:r>
      <w:r>
        <w:t xml:space="preserve">(Noble</w:t>
      </w:r>
      <w:r>
        <w:t xml:space="preserve"> </w:t>
      </w:r>
      <w:r>
        <w:rPr>
          <w:iCs/>
          <w:i/>
        </w:rPr>
        <w:t xml:space="preserve">et al.</w:t>
      </w:r>
      <w:r>
        <w:t xml:space="preserve"> </w:t>
      </w:r>
      <w:r>
        <w:t xml:space="preserve">2017; 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as this pattern has been shown in previous studies</w:t>
      </w:r>
      <w:r>
        <w:t xml:space="preserve"> </w:t>
      </w:r>
      <w:r>
        <w:t xml:space="preserve">(e.g., Moghadam</w:t>
      </w:r>
      <w:r>
        <w:t xml:space="preserve"> </w:t>
      </w:r>
      <w:r>
        <w:rPr>
          <w:iCs/>
          <w:i/>
        </w:rPr>
        <w:t xml:space="preserve">et al.</w:t>
      </w:r>
      <w:r>
        <w:t xml:space="preserve"> </w:t>
      </w:r>
      <w:r>
        <w:t xml:space="preserve">2019)</w:t>
      </w:r>
      <w:r>
        <w:t xml:space="preserve">,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68"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48"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decreased from</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by only 8.72% across all habitats (95%CI: -15.14 to -2.45%).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17.08% (95% CI: -24.32 to -10.19) in freshwater and 15.7% (95% CI: -25.96 to -4.79) in marine environments. In contrast, terrestrial ectotherms showed no acclimation (possibly even inverse acclimation) – showing a 6.6%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-6.56 to 21.19,</w:t>
      </w:r>
      <w:r>
        <w:t xml:space="preserve"> </w:t>
      </w:r>
      <w:hyperlink w:anchor="fig-1">
        <w:r>
          <w:rPr>
            <w:rStyle w:val="Hyperlink"/>
          </w:rPr>
          <w:t xml:space="preserve">Figure 1</w:t>
        </w:r>
      </w:hyperlink>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w:t>
      </w:r>
    </w:p>
    <w:p>
      <w:pPr>
        <w:pStyle w:val="BodyText"/>
      </w:pPr>
      <w:r>
        <w:t xml:space="preserve">Nonetheless, effect heterogeneity was high (only 2.85% of the variance was the result of sampling variability,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pPr>
        <w:pStyle w:val="BodyText"/>
      </w:pPr>
      <w:r>
        <w:t xml:space="preserve">Different trait categories showed different accclimation responses across habitat types, however, they mirrored patterns seen overall (see Supplement;</w:t>
      </w:r>
      <w:r>
        <w:t xml:space="preserve"> </w:t>
      </w:r>
      <w:hyperlink w:anchor="fig-2">
        <w:r>
          <w:rPr>
            <w:rStyle w:val="Hyperlink"/>
          </w:rPr>
          <w:t xml:space="preserve">Figure 7</w:t>
        </w:r>
      </w:hyperlink>
      <w:r>
        <w:t xml:space="preserve">). Acclimation capacity also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cvrlh">
        <w:r>
          <w:rPr>
            <w:rStyle w:val="Hyperlink"/>
          </w:rPr>
          <w:t xml:space="preserve">Figure 2</w:t>
        </w:r>
      </w:hyperlink>
      <w:r>
        <w:t xml:space="preserve"> </w:t>
      </w:r>
      <w:r>
        <w:t xml:space="preserve">A-C)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5184113"/>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51841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bookmarkEnd w:id="48"/>
    <w:bookmarkStart w:id="53" w:name="X5e3676e7d6c82720299927722c39946b33b7db3"/>
    <w:p>
      <w:pPr>
        <w:pStyle w:val="Heading3"/>
      </w:pPr>
      <w:r>
        <w:rPr>
          <w:iCs/>
          <w:i/>
        </w:rPr>
        <w:t xml:space="preserve">Reduced variation in physiological rates in terrestrial and marine ectotherms</w:t>
      </w:r>
    </w:p>
    <w:p>
      <w:pPr>
        <w:pStyle w:val="FirstParagraph"/>
      </w:pPr>
      <w:r>
        <w:t xml:space="preserve">Relative variance in physiological rates,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relative physiologcial rate variance for terrestrial ectotherms and a 14.94% (95% CI: 1.87 to 29.97,</w:t>
      </w:r>
      <w:r>
        <w:t xml:space="preserve"> </w:t>
      </w:r>
      <m:oMath>
        <m:sSub>
          <m:e>
            <m:r>
              <m:t>p</m:t>
            </m:r>
          </m:e>
          <m:sub>
            <m:r>
              <m:t>M</m:t>
            </m:r>
            <m:r>
              <m:t>C</m:t>
            </m:r>
            <m:r>
              <m:t>M</m:t>
            </m:r>
            <m:r>
              <m:t>C</m:t>
            </m:r>
          </m:sub>
        </m:sSub>
      </m:oMath>
      <w:r>
        <w:t xml:space="preserve"> </w:t>
      </w:r>
      <w:r>
        <w:t xml:space="preserve">= 0.07) reduction in relative variation for marine ectotherms when temperatures increase by 10</w:t>
      </w:r>
      <m:oMath>
        <m:sSup>
          <m:e>
            <m:r>
              <m:t>​</m:t>
            </m:r>
          </m:e>
          <m:sup>
            <m:r>
              <m:rPr>
                <m:sty m:val="p"/>
              </m:rPr>
              <m:t>∘</m:t>
            </m:r>
          </m:sup>
        </m:sSup>
      </m:oMath>
      <w:r>
        <w:t xml:space="preserve">C. In contrast, freshwater ectotherms exhibited a much smaller reduction in relative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2</w:t>
        </w:r>
      </w:hyperlink>
      <w:r>
        <w:t xml:space="preserve">). While traits did differ in whether they exhibited a reduction in variation in physiological rates at high temperatures reduced variance was prominant for resting metabolic rates and sprint speed (</w:t>
      </w:r>
      <w:hyperlink w:anchor="fig-cvrtrait">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52" w:name="fig-cvrlh"/>
          <w:p>
            <w:pPr>
              <w:pStyle w:val="Figure"/>
              <w:jc w:val="center"/>
            </w:pPr>
            <w:r>
              <w:drawing>
                <wp:inline>
                  <wp:extent cx="6680200" cy="4219073"/>
                  <wp:effectExtent b="0" l="0" r="0" t="0"/>
                  <wp:docPr descr="" title="" id="50" name="Picture"/>
                  <a:graphic>
                    <a:graphicData uri="http://schemas.openxmlformats.org/drawingml/2006/picture">
                      <pic:pic>
                        <pic:nvPicPr>
                          <pic:cNvPr descr="ms_files/figure-docx/fig-cvrlh-1.png" id="51" name="Picture"/>
                          <pic:cNvPicPr>
                            <a:picLocks noChangeArrowheads="1" noChangeAspect="1"/>
                          </pic:cNvPicPr>
                        </pic:nvPicPr>
                        <pic:blipFill>
                          <a:blip r:embed="rId49"/>
                          <a:stretch>
                            <a:fillRect/>
                          </a:stretch>
                        </pic:blipFill>
                        <pic:spPr bwMode="auto">
                          <a:xfrm>
                            <a:off x="0" y="0"/>
                            <a:ext cx="6680200" cy="421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mean acclimation and acute</w:t>
            </w:r>
            <w:r>
              <w:t xml:space="preserve"> </w:t>
            </w:r>
            <m:oMath>
              <m:r>
                <m:t>l</m:t>
              </m:r>
              <m:r>
                <m:t>n</m:t>
              </m:r>
              <m:r>
                <m:t>R</m:t>
              </m:r>
              <m:sSub>
                <m:e>
                  <m:r>
                    <m:t>R</m:t>
                  </m:r>
                </m:e>
                <m:sub>
                  <m:sSub>
                    <m:e>
                      <m:r>
                        <m:t>Q</m:t>
                      </m:r>
                    </m:e>
                    <m:sub>
                      <m:r>
                        <m:t>10</m:t>
                      </m:r>
                    </m:sub>
                  </m:sSub>
                </m:sub>
              </m:sSub>
            </m:oMath>
            <w:r>
              <w:t xml:space="preserve"> </w:t>
            </w:r>
            <w:r>
              <w:t xml:space="preserve">(A-C) and</w:t>
            </w:r>
            <w:r>
              <w:t xml:space="preserve"> </w:t>
            </w:r>
            <m:oMath>
              <m:r>
                <m:t>l</m:t>
              </m:r>
              <m:r>
                <m:t>n</m:t>
              </m:r>
              <m:r>
                <m:t>C</m:t>
              </m:r>
              <m:r>
                <m:t>V</m:t>
              </m:r>
              <m:sSub>
                <m:e>
                  <m:r>
                    <m:t>R</m:t>
                  </m:r>
                </m:e>
                <m:sub>
                  <m:sSub>
                    <m:e>
                      <m:r>
                        <m:t>Q</m:t>
                      </m:r>
                    </m:e>
                    <m:sub>
                      <m:r>
                        <m:t>10</m:t>
                      </m:r>
                    </m:sub>
                  </m:sSub>
                </m:sub>
              </m:sSub>
            </m:oMath>
            <w:r>
              <w:t xml:space="preserve"> </w:t>
            </w:r>
            <w:r>
              <w:t xml:space="preserve">(D-F) for adult and juevenile life-history stages for Marine (A &amp; D), Freshwater (B &amp; E) and Terrestrial (C &amp; F) ectotherms. k = total number of effect size estimates while the numbers in brackets indicate the number of species. Thick bars indicate 95% confidence intervals and thin bars indicate 95% prediction intervals. Raw data for both adult and jeunvile life-history stages also presented but point are not separated by type for ease of presentation.</w:t>
            </w:r>
          </w:p>
          <w:bookmarkEnd w:id="52"/>
        </w:tc>
      </w:tr>
    </w:tbl>
    <w:bookmarkEnd w:id="53"/>
    <w:bookmarkStart w:id="62"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physiological rate variance among terrestrial, marine or freshwater populations (</w:t>
      </w:r>
      <w:hyperlink w:anchor="fig-4">
        <w:r>
          <w:rPr>
            <w:rStyle w:val="Hyperlink"/>
          </w:rPr>
          <w:t xml:space="preserve">Figure 3</w:t>
        </w:r>
      </w:hyperlink>
      <w:r>
        <w:t xml:space="preserve">;</w:t>
      </w:r>
      <w:r>
        <w:t xml:space="preserve"> </w:t>
      </w:r>
      <w:hyperlink w:anchor="fig-5">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7" w:name="fig-4"/>
          <w:p>
            <w:pPr>
              <w:pStyle w:val="Figure"/>
              <w:jc w:val="center"/>
            </w:pPr>
            <w:r>
              <w:drawing>
                <wp:inline>
                  <wp:extent cx="6680200" cy="7087529"/>
                  <wp:effectExtent b="0" l="0" r="0" t="0"/>
                  <wp:docPr descr="" title="" id="55" name="Picture"/>
                  <a:graphic>
                    <a:graphicData uri="http://schemas.openxmlformats.org/drawingml/2006/picture">
                      <pic:pic>
                        <pic:nvPicPr>
                          <pic:cNvPr descr="ms_files/figure-docx/fig-4-1.png" id="56" name="Picture"/>
                          <pic:cNvPicPr>
                            <a:picLocks noChangeArrowheads="1" noChangeAspect="1"/>
                          </pic:cNvPicPr>
                        </pic:nvPicPr>
                        <pic:blipFill>
                          <a:blip r:embed="rId54"/>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(thick black line)</w:t>
            </w:r>
            <w:r>
              <w:t xml:space="preserve"> </w:t>
            </w:r>
            <m:oMath>
              <m:r>
                <m:t>l</m:t>
              </m:r>
              <m:r>
                <m:t>n</m:t>
              </m:r>
              <m:r>
                <m:t>R</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are shown for each habitat.</w:t>
            </w:r>
          </w:p>
          <w:bookmarkEnd w:id="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 w:name="fig-5"/>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5-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 (thick black line)</w:t>
            </w:r>
            <w:r>
              <w:t xml:space="preserve"> </w:t>
            </w:r>
            <m:oMath>
              <m:r>
                <m:t>l</m:t>
              </m:r>
              <m:r>
                <m:t>n</m:t>
              </m:r>
              <m:r>
                <m:t>C</m:t>
              </m:r>
              <m:r>
                <m:t>V</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are shown for each habitat.</w:t>
            </w:r>
          </w:p>
          <w:bookmarkEnd w:id="61"/>
        </w:tc>
      </w:tr>
    </w:tbl>
    <w:bookmarkEnd w:id="62"/>
    <w:bookmarkStart w:id="67" w:name="X73568919e14130ed845d709a8642ee495635fe2"/>
    <w:p>
      <w:pPr>
        <w:pStyle w:val="Heading3"/>
      </w:pPr>
      <w:r>
        <w:t xml:space="preserve">Changes in physiological rate variance under climate change</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species in the Northern Hemiphere (</w:t>
      </w:r>
      <w:hyperlink w:anchor="fig-fig6">
        <w:r>
          <w:rPr>
            <w:rStyle w:val="Hyperlink"/>
          </w:rPr>
          <w:t xml:space="preserve">Figure 5</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5</w:t>
        </w:r>
      </w:hyperlink>
      <w:r>
        <w:t xml:space="preserve"> </w:t>
      </w:r>
      <w:r>
        <w:t xml:space="preserve">D). However, out of the 188 populations variance was predicted to decrease in 94.15% of the locations.</w:t>
      </w:r>
    </w:p>
    <w:p>
      <w:pPr>
        <w:pStyle w:val="BodyText"/>
      </w:pPr>
      <w:r>
        <w:t xml:space="preserve">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0.94% change in variance for freshwater systems (95% CI: -8.92 to 8.24%,</w:t>
      </w:r>
      <w:r>
        <w:t xml:space="preserve"> </w:t>
      </w:r>
      <m:oMath>
        <m:sSub>
          <m:e>
            <m:r>
              <m:t>p</m:t>
            </m:r>
          </m:e>
          <m:sub>
            <m:r>
              <m:t>M</m:t>
            </m:r>
            <m:r>
              <m:t>C</m:t>
            </m:r>
            <m:r>
              <m:t>M</m:t>
            </m:r>
            <m:r>
              <m:t>C</m:t>
            </m:r>
          </m:sub>
        </m:sSub>
      </m:oMath>
      <w:r>
        <w:t xml:space="preserve"> </w:t>
      </w:r>
      <w:r>
        <w:t xml:space="preserve">= 0.82), whereas we expect a 3.62% reduction in variance for marine systems (95% CI: -7.71 to 2.53%,</w:t>
      </w:r>
      <w:r>
        <w:t xml:space="preserve"> </w:t>
      </w:r>
      <m:oMath>
        <m:sSub>
          <m:e>
            <m:r>
              <m:t>p</m:t>
            </m:r>
          </m:e>
          <m:sub>
            <m:r>
              <m:t>M</m:t>
            </m:r>
            <m:r>
              <m:t>C</m:t>
            </m:r>
            <m:r>
              <m:t>M</m:t>
            </m:r>
            <m:r>
              <m:t>C</m:t>
            </m:r>
          </m:sub>
        </m:sSub>
      </m:oMath>
      <w:r>
        <w:t xml:space="preserve"> </w:t>
      </w:r>
      <w:r>
        <w:t xml:space="preserve">= 0.34) and a 13.13% reduction in variance for terrestrial systems (95% CI: -21.4 to -6.56%,</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66" w:name="fig-fig6"/>
          <w:p>
            <w:pPr>
              <w:pStyle w:val="Figure"/>
              <w:jc w:val="center"/>
            </w:pPr>
            <w:r>
              <w:drawing>
                <wp:inline>
                  <wp:extent cx="6680200" cy="8650002"/>
                  <wp:effectExtent b="0" l="0" r="0" t="0"/>
                  <wp:docPr descr="" title="" id="64" name="Picture"/>
                  <a:graphic>
                    <a:graphicData uri="http://schemas.openxmlformats.org/drawingml/2006/picture">
                      <pic:pic>
                        <pic:nvPicPr>
                          <pic:cNvPr descr="ms_files/figure-docx/fig-fig6-1.png" id="65" name="Picture"/>
                          <pic:cNvPicPr>
                            <a:picLocks noChangeArrowheads="1" noChangeAspect="1"/>
                          </pic:cNvPicPr>
                        </pic:nvPicPr>
                        <pic:blipFill>
                          <a:blip r:embed="rId63"/>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 Predicted change in physiological rate variance (relative variance) for each population based on current temperatures (average from 2018-2022; A-C) as well as the expected change from current temperatures based on future temperature predictions (average from 2096-2100, D). Future climate predictions are the reduction in relative variance expected under a RCP8.5 climate scenerio relative to current climate conditions (% change).</w:t>
            </w:r>
          </w:p>
          <w:bookmarkEnd w:id="66"/>
        </w:tc>
      </w:tr>
    </w:tbl>
    <w:bookmarkEnd w:id="67"/>
    <w:bookmarkEnd w:id="68"/>
    <w:bookmarkStart w:id="75"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the relative variance</w:t>
      </w:r>
      <w:r>
        <w:t xml:space="preserve"> </w:t>
      </w:r>
      <m:oMath>
        <m:r>
          <m:t>l</m:t>
        </m:r>
        <m:r>
          <m:t>n</m:t>
        </m:r>
        <m:r>
          <m:t>C</m:t>
        </m:r>
        <m:r>
          <m:t>V</m:t>
        </m:r>
        <m:sSub>
          <m:e>
            <m:r>
              <m:t>R</m:t>
            </m:r>
          </m:e>
          <m:sub>
            <m:sSub>
              <m:e>
                <m:r>
                  <m:t>Q</m:t>
                </m:r>
              </m:e>
              <m:sub>
                <m:r>
                  <m:t>10</m:t>
                </m:r>
              </m:sub>
            </m:sSub>
          </m:sub>
        </m:sSub>
      </m:oMath>
      <w:r>
        <w:t xml:space="preserve"> </w:t>
      </w:r>
      <w:r>
        <w:t xml:space="preserve">in physiological rates is expected to decrease for ectotherms as temperatures increase, but particularly so for terrestrial ectotherms (~28%). Decreases in the relative variance of physiological rates are equal to or larger than the expected benefits from acclimation (i.e.,</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in marine and terrestrial ectotherms (</w:t>
      </w:r>
      <w:r>
        <w:rPr>
          <w:iCs/>
          <w:i/>
        </w:rPr>
        <w:t xml:space="preserve">marine</w:t>
      </w:r>
      <w:r>
        <w:t xml:space="preserve">: 16% acclimation vs. 15% reduction in relative variance;</w:t>
      </w:r>
      <w:r>
        <w:t xml:space="preserve"> </w:t>
      </w:r>
      <w:r>
        <w:rPr>
          <w:iCs/>
          <w:i/>
        </w:rPr>
        <w:t xml:space="preserve">terrestrial</w:t>
      </w:r>
      <w:r>
        <w:t xml:space="preserve">: no acclimation vs 28% reduction in relative variance;</w:t>
      </w:r>
      <w:r>
        <w:t xml:space="preserve"> </w:t>
      </w:r>
      <w:hyperlink w:anchor="fig-1">
        <w:r>
          <w:rPr>
            <w:rStyle w:val="Hyperlink"/>
          </w:rPr>
          <w:t xml:space="preserve">Figure 1</w:t>
        </w:r>
      </w:hyperlink>
      <w:r>
        <w:t xml:space="preserve">). Such effects are expected to result in a decrease in the variability in physiological rates for marine and terrestrial ectotherms between ~4-13% under future climate change projections. Our results provide a more complete picture of the impacts that climate warming will have on ectotherm populations, with important ecological and evolutionary implications that require further empirical and theoretical attention. We discuss our findings in the context of the current literature and highlight key areas for future research.</w:t>
      </w:r>
    </w:p>
    <w:bookmarkStart w:id="69" w:name="Xe911b40312146b6b88f47f6a34517f142bc9be0"/>
    <w:p>
      <w:pPr>
        <w:pStyle w:val="Heading3"/>
      </w:pPr>
      <w:r>
        <w:rPr>
          <w:iCs/>
          <w:i/>
          <w:bCs/>
          <w:b/>
        </w:rPr>
        <w:t xml:space="preserve">Potential evolutionary consequences for reduced plasticity and variance in physiologcial rates across ectotherms</w:t>
      </w:r>
    </w:p>
    <w:p>
      <w:pPr>
        <w:pStyle w:val="FirstParagraph"/>
      </w:pPr>
      <w:r>
        <w:t xml:space="preserve">There is a general interest in understanding the interplay and relative importance of plasticity and genetic adaptation to a population’s capacity to mitigate climate change effects</w:t>
      </w:r>
      <w:r>
        <w:t xml:space="preserve"> </w:t>
      </w:r>
      <w:r>
        <w:t xml:space="preserve">(Chevin</w:t>
      </w:r>
      <w:r>
        <w:t xml:space="preserve"> </w:t>
      </w:r>
      <w:r>
        <w:rPr>
          <w:iCs/>
          <w:i/>
        </w:rPr>
        <w:t xml:space="preserve">et al.</w:t>
      </w:r>
      <w:r>
        <w:t xml:space="preserve"> </w:t>
      </w:r>
      <w:r>
        <w:t xml:space="preserve">2010; Hoffmann &amp; Sgrò 2011; Merilä &amp; Hendry 2014; Urban</w:t>
      </w:r>
      <w:r>
        <w:t xml:space="preserve"> </w:t>
      </w:r>
      <w:r>
        <w:rPr>
          <w:iCs/>
          <w:i/>
        </w:rPr>
        <w:t xml:space="preserve">et al.</w:t>
      </w:r>
      <w:r>
        <w:t xml:space="preserve"> </w:t>
      </w:r>
      <w:r>
        <w:t xml:space="preserve">2023)</w:t>
      </w:r>
      <w:r>
        <w:t xml:space="preserve">. Phenotypic plasticity is expected to allow populations to persist in the face of climate extremes by better allowing phenotypes to match fitness optima, however, maladaptive responses can occur</w:t>
      </w:r>
      <w:r>
        <w:t xml:space="preserve"> </w:t>
      </w:r>
      <w:r>
        <w:t xml:space="preserve">(Noble</w:t>
      </w:r>
      <w:r>
        <w:t xml:space="preserve"> </w:t>
      </w:r>
      <w:r>
        <w:rPr>
          <w:iCs/>
          <w:i/>
        </w:rPr>
        <w:t xml:space="preserve">et al.</w:t>
      </w:r>
      <w:r>
        <w:t xml:space="preserve"> </w:t>
      </w:r>
      <w:r>
        <w:t xml:space="preserve">2019; Radersma</w:t>
      </w:r>
      <w:r>
        <w:t xml:space="preserve"> </w:t>
      </w:r>
      <w:r>
        <w:rPr>
          <w:iCs/>
          <w:i/>
        </w:rPr>
        <w:t xml:space="preserve">et al.</w:t>
      </w:r>
      <w:r>
        <w:t xml:space="preserve"> </w:t>
      </w:r>
      <w:r>
        <w:t xml:space="preserve">2020)</w:t>
      </w:r>
      <w:r>
        <w:t xml:space="preserve"> </w:t>
      </w:r>
      <w:r>
        <w:t xml:space="preserve">and there may be limits / costs to plasticity that may prevent it from evolving</w:t>
      </w:r>
      <w:r>
        <w:t xml:space="preserve"> </w:t>
      </w:r>
      <w:r>
        <w:t xml:space="preserve">(Dewitt</w:t>
      </w:r>
      <w:r>
        <w:t xml:space="preserve"> </w:t>
      </w:r>
      <w:r>
        <w:rPr>
          <w:iCs/>
          <w:i/>
        </w:rPr>
        <w:t xml:space="preserve">et al.</w:t>
      </w:r>
      <w:r>
        <w:t xml:space="preserve"> </w:t>
      </w:r>
      <w:r>
        <w:t xml:space="preserve">1998; but see Murren</w:t>
      </w:r>
      <w:r>
        <w:t xml:space="preserve"> </w:t>
      </w:r>
      <w:r>
        <w:rPr>
          <w:iCs/>
          <w:i/>
        </w:rPr>
        <w:t xml:space="preserve">et al.</w:t>
      </w:r>
      <w:r>
        <w:t xml:space="preserve"> </w:t>
      </w:r>
      <w:r>
        <w:t xml:space="preserve">2015)</w:t>
      </w:r>
      <w:r>
        <w:t xml:space="preserve">. We show that plastic adjustments in physiological rates and changes in their relative variance differs across habitats. In freshwater habitats, acclimation responses will likely be beneficial considering that these effects are larger than reductions in relative variance in physiological rates. In contrast, acclimation responses of marine organisms coincide with a nearly equal reduction in relative variance in physiolgical rates, suggesting acclimation may not be as beneficial. Relative variance reductions are particularly pronounced for terrestrial ectotherms and this coincides with a general inability to acclimate highlighting the vulnerability of terrestrial ectotherms to climate change. While it is unclear the extent to which such changes in variance are heritable, we expect changes in variance of this magnitude to impact the</w:t>
      </w:r>
      <w:r>
        <w:t xml:space="preserve"> </w:t>
      </w:r>
      <w:r>
        <w:t xml:space="preserve">‘</w:t>
      </w:r>
      <w:r>
        <w:t xml:space="preserve">opportunity for selection</w:t>
      </w:r>
      <w:r>
        <w:t xml:space="preserve">’</w:t>
      </w:r>
      <w:r>
        <w:t xml:space="preserve"> </w:t>
      </w:r>
      <w:r>
        <w:t xml:space="preserve">by reducing the strength of selection and/or impacting underlying genetic variance exposed to selection. Both are predicted to impact the capacity of populations to evolve under climate change</w:t>
      </w:r>
      <w:r>
        <w:t xml:space="preserve"> </w:t>
      </w:r>
      <w:r>
        <w:t xml:space="preserve">(Hoffmann &amp; Sgrò 2011; Urban</w:t>
      </w:r>
      <w:r>
        <w:t xml:space="preserve"> </w:t>
      </w:r>
      <w:r>
        <w:rPr>
          <w:iCs/>
          <w:i/>
        </w:rPr>
        <w:t xml:space="preserve">et al.</w:t>
      </w:r>
      <w:r>
        <w:t xml:space="preserve"> </w:t>
      </w:r>
      <w:r>
        <w:t xml:space="preserve">2023)</w:t>
      </w:r>
      <w:r>
        <w:t xml:space="preserve">.</w:t>
      </w:r>
    </w:p>
    <w:p>
      <w:pPr>
        <w:pStyle w:val="BodyText"/>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that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 The weak acclimation responses of terrestrial ectotherms suggest that evolving plasticity in physiological rates may be hard, possibly because terrestrial ectotherms are more likely to experience more variable and unpredictable thermal environments than aquatic ectotherms (see below). Reductions in physiological rate variance for terrestrial ectotherms may be because of selective mortality at higher temperatures reducing intrapopulation variability or populations being pushed closer to their thermal maxima (or a combination of both). Disentangling these hypotheses will require empirical studies to connect survival measures at different temperatures with thermal physiology across individuals (e.g.,</w:t>
      </w:r>
      <w:r>
        <w:t xml:space="preserve"> </w:t>
      </w:r>
      <m:oMath>
        <m:r>
          <m:t>C</m:t>
        </m:r>
        <m:sSub>
          <m:e>
            <m:r>
              <m:t>T</m:t>
            </m:r>
          </m:e>
          <m:sub>
            <m:r>
              <m:t>m</m:t>
            </m:r>
            <m:r>
              <m:t>a</m:t>
            </m:r>
            <m:r>
              <m:t>x</m:t>
            </m:r>
          </m:sub>
        </m:sSub>
      </m:oMath>
      <w:r>
        <w:t xml:space="preserve">).</w:t>
      </w:r>
    </w:p>
    <w:bookmarkEnd w:id="69"/>
    <w:bookmarkStart w:id="70" w:name="X0949d938fae8f94fb02ed8806a135ddcdae14b2"/>
    <w:p>
      <w:pPr>
        <w:pStyle w:val="Heading3"/>
      </w:pPr>
      <w:r>
        <w:rPr>
          <w:iCs/>
          <w:i/>
          <w:bCs/>
          <w:b/>
        </w:rPr>
        <w:t xml:space="preserve">Plasticity and variance in physiologcial rates do not differ between life-stages</w:t>
      </w:r>
    </w:p>
    <w:p>
      <w:pPr>
        <w:pStyle w:val="FirstParagraph"/>
      </w:pPr>
      <w:r>
        <w:t xml:space="preserve">Interestingly, there were no major differences in acclimation or reductions in physiological variance between life-stages across habitat types. Greater plasticity for early life-stages of development is expected to be important for dealing with the effects of climate change because early life-stages are usually particularly vulnerable periods in development</w:t>
      </w:r>
      <w:r>
        <w:t xml:space="preserve"> </w:t>
      </w:r>
      <w:r>
        <w:t xml:space="preserve">(Stearns 1976; Martin 2015)</w:t>
      </w:r>
      <w:r>
        <w:t xml:space="preserve">. However, our results highlight that early life stages are not likely to be protected from the impacts of climate change. Evidence across the literature conflicts in terms of the extent to which one life-stage is more or less plastic than another</w:t>
      </w:r>
      <w:r>
        <w:t xml:space="preserve"> </w:t>
      </w:r>
      <w:r>
        <w:t xml:space="preserve">(Moghadam</w:t>
      </w:r>
      <w:r>
        <w:t xml:space="preserve"> </w:t>
      </w:r>
      <w:r>
        <w:rPr>
          <w:iCs/>
          <w:i/>
        </w:rPr>
        <w:t xml:space="preserve">et al.</w:t>
      </w:r>
      <w:r>
        <w:t xml:space="preserve"> </w:t>
      </w:r>
      <w:r>
        <w:t xml:space="preserve">2019; Carter &amp; Sheldon 2020)</w:t>
      </w:r>
      <w:r>
        <w:t xml:space="preserve">. For example,</w:t>
      </w:r>
      <w:r>
        <w:t xml:space="preserve"> </w:t>
      </w:r>
      <w:r>
        <w:t xml:space="preserve">Moghadam</w:t>
      </w:r>
      <w:r>
        <w:t xml:space="preserve"> </w:t>
      </w:r>
      <w:r>
        <w:rPr>
          <w:iCs/>
          <w:i/>
        </w:rPr>
        <w:t xml:space="preserve">et al.</w:t>
      </w:r>
      <w:r>
        <w:t xml:space="preserve"> </w:t>
      </w:r>
      <w:r>
        <w:t xml:space="preserve">(2019)</w:t>
      </w:r>
      <w:r>
        <w:t xml:space="preserve"> </w:t>
      </w:r>
      <w:r>
        <w:t xml:space="preserve">showed that larvae</w:t>
      </w:r>
      <w:r>
        <w:t xml:space="preserve"> </w:t>
      </w:r>
      <w:r>
        <w:rPr>
          <w:iCs/>
          <w:i/>
        </w:rPr>
        <w:t xml:space="preserve">Drosophila</w:t>
      </w:r>
      <w:r>
        <w:t xml:space="preserve"> </w:t>
      </w:r>
      <w:r>
        <w:t xml:space="preserve">were more plastic in their heat hardening responses compared to adults. In contrast,</w:t>
      </w:r>
      <w:r>
        <w:t xml:space="preserve"> </w:t>
      </w:r>
      <w:r>
        <w:t xml:space="preserve">Carter &amp; Sheldon (2020)</w:t>
      </w:r>
      <w:r>
        <w:t xml:space="preserve"> </w:t>
      </w:r>
      <w:r>
        <w:t xml:space="preserve">showed greater thermal plasticity in metabolism for adults but little in pupae of</w:t>
      </w:r>
      <w:r>
        <w:t xml:space="preserve"> </w:t>
      </w:r>
      <w:r>
        <w:rPr>
          <w:iCs/>
          <w:i/>
        </w:rPr>
        <w:t xml:space="preserve">Onthophagus taurus</w:t>
      </w:r>
      <w:r>
        <w:t xml:space="preserve">. Across a diversity of taxa, we show that there were generally similar patterns between early and late life stages – both in terms of variance changes and the capacity for plasticity. Unsurprisingly, there is much variation in the literature and our findings suggest that patterns will depend on the species and traits in question. However, very few studies measured multiple life-history stages within the same population. As such, we need more studies that explicitly compare, within populations, differences in plasticity among life stages across multiple traits. A better understanding of the microthermal enviroments experienced by different life-stages will also be important in understanding why plasticity (or lack thereof) may differ among life-stages.</w:t>
      </w:r>
    </w:p>
    <w:bookmarkEnd w:id="70"/>
    <w:bookmarkStart w:id="71" w:name="Xb2912f076329986a7ca8069ef0f6004b6a9cc73"/>
    <w:p>
      <w:pPr>
        <w:pStyle w:val="Heading3"/>
      </w:pPr>
      <w:r>
        <w:rPr>
          <w:iCs/>
          <w:i/>
          <w:bCs/>
          <w:b/>
        </w:rPr>
        <w:t xml:space="preserve">No signature of past climate on capacity for physiological plasticity</w:t>
      </w:r>
    </w:p>
    <w:p>
      <w:pPr>
        <w:pStyle w:val="FirstParagraph"/>
      </w:pPr>
      <w:r>
        <w:t xml:space="preserve">Theoretical models predict that plasticity should evolve in populatons experiencing greater environmental variability (spatial or temporal), particularly if oscillations are predictable over time making environmental cues more reliable</w:t>
      </w:r>
      <w:r>
        <w:t xml:space="preserve"> </w:t>
      </w:r>
      <w:r>
        <w:t xml:space="preserve">(Lande 2009; Chevin</w:t>
      </w:r>
      <w:r>
        <w:t xml:space="preserve"> </w:t>
      </w:r>
      <w:r>
        <w:rPr>
          <w:iCs/>
          <w:i/>
        </w:rPr>
        <w:t xml:space="preserve">et al.</w:t>
      </w:r>
      <w:r>
        <w:t xml:space="preserve"> </w:t>
      </w:r>
      <w:r>
        <w:t xml:space="preserve">2010; Reed</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heterogeneity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to evolve in terrestrial environments. However, we did not find evidence to this effect. The lack of relationship between physiological plasticity and environmental variability and predictability could be due to the challenges in estimating realistic microthermal environments experienced by taxa. Alternatively, lower predictability of thermal environments over time may make cues unreliable preventing plastic responses from evolving easily</w:t>
      </w:r>
      <w:r>
        <w:t xml:space="preserve"> </w:t>
      </w:r>
      <w:r>
        <w:t xml:space="preserve">(Hendry 2016; Leung</w:t>
      </w:r>
      <w:r>
        <w:t xml:space="preserve"> </w:t>
      </w:r>
      <w:r>
        <w:rPr>
          <w:iCs/>
          <w:i/>
        </w:rPr>
        <w:t xml:space="preserve">et al.</w:t>
      </w:r>
      <w:r>
        <w:t xml:space="preserve"> </w:t>
      </w:r>
      <w:r>
        <w:t xml:space="preserve">2020)</w:t>
      </w:r>
      <w:r>
        <w:t xml:space="preserve">. Randomly flutuating environments have been suggested to select for reduced plasticity, particularly if plastic responses are costly and this has been demonstrated by a number of empirical studies</w:t>
      </w:r>
      <w:r>
        <w:t xml:space="preserve"> </w:t>
      </w:r>
      <w:r>
        <w:t xml:space="preserve">(Leung</w:t>
      </w:r>
      <w:r>
        <w:t xml:space="preserve"> </w:t>
      </w:r>
      <w:r>
        <w:rPr>
          <w:iCs/>
          <w:i/>
        </w:rPr>
        <w:t xml:space="preserve">et al.</w:t>
      </w:r>
      <w:r>
        <w:t xml:space="preserve"> </w:t>
      </w:r>
      <w:r>
        <w:t xml:space="preserve">2020, 2023; Rescan</w:t>
      </w:r>
      <w:r>
        <w:t xml:space="preserve"> </w:t>
      </w:r>
      <w:r>
        <w:rPr>
          <w:iCs/>
          <w:i/>
        </w:rPr>
        <w:t xml:space="preserve">et al.</w:t>
      </w:r>
      <w:r>
        <w:t xml:space="preserve"> </w:t>
      </w:r>
      <w:r>
        <w:t xml:space="preserve">2022)</w:t>
      </w:r>
      <w:r>
        <w:t xml:space="preserve">. For example, using seed beetles (</w:t>
      </w:r>
      <w:r>
        <w:rPr>
          <w:iCs/>
          <w:i/>
        </w:rPr>
        <w:t xml:space="preserve">Callosobruchus maculatus</w:t>
      </w:r>
      <w:r>
        <w:t xml:space="preserve">),</w:t>
      </w:r>
      <w:r>
        <w:t xml:space="preserve"> </w:t>
      </w:r>
      <w:r>
        <w:t xml:space="preserve">Hallsson &amp; Björklund (2012)</w:t>
      </w:r>
      <w:r>
        <w:t xml:space="preserve"> </w:t>
      </w:r>
      <w:r>
        <w:t xml:space="preserve">showed that experimentally evolving populations under randomly flutuating thermal conditions did not lead to the expected increase in plasticity, but rather reduced plasticity.</w:t>
      </w:r>
      <w:r>
        <w:t xml:space="preserve"> </w:t>
      </w:r>
      <w:r>
        <w:t xml:space="preserve">Leung</w:t>
      </w:r>
      <w:r>
        <w:t xml:space="preserve"> </w:t>
      </w:r>
      <w:r>
        <w:rPr>
          <w:iCs/>
          <w:i/>
        </w:rPr>
        <w:t xml:space="preserve">et al.</w:t>
      </w:r>
      <w:r>
        <w:t xml:space="preserve"> </w:t>
      </w:r>
      <w:r>
        <w:t xml:space="preserve">(2020)</w:t>
      </w:r>
      <w:r>
        <w:t xml:space="preserve"> </w:t>
      </w:r>
      <w:r>
        <w:t xml:space="preserve">also showed reduced plasticity in morphological traits when environments experienced were less predictable by experimentally evolving algae populations (</w:t>
      </w:r>
      <w:r>
        <w:rPr>
          <w:iCs/>
          <w:i/>
        </w:rPr>
        <w:t xml:space="preserve">Dunaliella salina</w:t>
      </w:r>
      <w:r>
        <w:t xml:space="preserve">)</w:t>
      </w:r>
      <w:r>
        <w:t xml:space="preserve"> </w:t>
      </w:r>
      <w:r>
        <w:t xml:space="preserve">(see also Leung</w:t>
      </w:r>
      <w:r>
        <w:t xml:space="preserve"> </w:t>
      </w:r>
      <w:r>
        <w:rPr>
          <w:iCs/>
          <w:i/>
        </w:rPr>
        <w:t xml:space="preserve">et al.</w:t>
      </w:r>
      <w:r>
        <w:t xml:space="preserve"> </w:t>
      </w:r>
      <w:r>
        <w:t xml:space="preserve">2023)</w:t>
      </w:r>
      <w:r>
        <w:t xml:space="preserve">. These findings, in combination with our results, suggests that there are costs to being plastic when environments are not predictable (either intrinsic physiological costs, fitness costs or both). The fact that aquatic ectotherms did show a capacity to acclimate suggest that environmental predictability, which is expected to be higher in aquatic environments, may be more important than environmental variability in driving the evolution of plasticity. However, disentangling the relative importance of environmental variability and predictability will require better distinguishing between active and passive plasticity, as the latter is expected to more likely be adaptive (</w:t>
      </w:r>
      <w:r>
        <w:t xml:space="preserve">Havird</w:t>
      </w:r>
      <w:r>
        <w:t xml:space="preserve"> </w:t>
      </w:r>
      <w:r>
        <w:rPr>
          <w:iCs/>
          <w:i/>
        </w:rPr>
        <w:t xml:space="preserve">et al.</w:t>
      </w:r>
      <w:r>
        <w:t xml:space="preserve"> </w:t>
      </w:r>
      <w:r>
        <w:t xml:space="preserve">(2020)</w:t>
      </w:r>
      <w:r>
        <w:t xml:space="preserve">), and better a understanding the fitness consequences of exhibiting plastic versus canalised phenotypes.</w:t>
      </w:r>
    </w:p>
    <w:bookmarkEnd w:id="71"/>
    <w:bookmarkStart w:id="72" w:name="X8b678a72bb2e83263e85a2c9c585f524553e933"/>
    <w:p>
      <w:pPr>
        <w:pStyle w:val="Heading3"/>
      </w:pPr>
      <w:r>
        <w:rPr>
          <w:iCs/>
          <w:i/>
          <w:bCs/>
          <w:b/>
        </w:rPr>
        <w:t xml:space="preserve">Ecological consequences of reduced variation in physiological rates</w:t>
      </w:r>
    </w:p>
    <w:p>
      <w:pPr>
        <w:pStyle w:val="FirstParagraph"/>
      </w:pPr>
      <w:r>
        <w:t xml:space="preserve">While we found that variance in physiological rates decreases at high temperatures, being especially pronouced in terrestrial ectotherms, variance reductions in metabolism and performance were key traits most strongly impacted. Changes in variability in physiological rates, particularly traits governing energy demand, could have important consequences on the flow of energy within and between populations, communities and ecosystems</w:t>
      </w:r>
      <w:r>
        <w:t xml:space="preserve"> </w:t>
      </w:r>
      <w:r>
        <w:t xml:space="preserve">(Hendry 2016)</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Hart</w:t>
      </w:r>
      <w:r>
        <w:t xml:space="preserve"> </w:t>
      </w:r>
      <w:r>
        <w:rPr>
          <w:iCs/>
          <w:i/>
        </w:rPr>
        <w:t xml:space="preserve">et al.</w:t>
      </w:r>
      <w:r>
        <w:t xml:space="preserve"> </w:t>
      </w:r>
      <w:r>
        <w:t xml:space="preserve">2016; Hendry 2016)</w:t>
      </w:r>
      <w:r>
        <w:t xml:space="preserve">. Maintaining intrapopulaton variability in physiological rates in a warmer world may therefore be important for population resilience to climate change. Nonetheless, few studies have explored the consequences that variation in physiological traits have for population dynamics. Those studies that have, have shown that such variation can have important implications. For example,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oscillations compared to scenarios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ectotherms will likely face an onslaught of ecological and evolutionary challenges which will mean greater rates of extinction and reduced productivity – predictions reinforced by several studies</w:t>
      </w:r>
      <w:r>
        <w:t xml:space="preserve"> </w:t>
      </w:r>
      <w:r>
        <w:t xml:space="preserve">(Hoffmann</w:t>
      </w:r>
      <w:r>
        <w:t xml:space="preserve"> </w:t>
      </w:r>
      <w:r>
        <w:rPr>
          <w:iCs/>
          <w:i/>
        </w:rPr>
        <w:t xml:space="preserve">et al.</w:t>
      </w:r>
      <w:r>
        <w:t xml:space="preserve"> </w:t>
      </w:r>
      <w:r>
        <w:t xml:space="preserve">2013; Gunderson &amp; Stillman 2015; Pottier</w:t>
      </w:r>
      <w:r>
        <w:t xml:space="preserve"> </w:t>
      </w:r>
      <w:r>
        <w:rPr>
          <w:iCs/>
          <w:i/>
        </w:rPr>
        <w:t xml:space="preserve">et al.</w:t>
      </w:r>
      <w:r>
        <w:t xml:space="preserve"> </w:t>
      </w:r>
      <w:r>
        <w:t xml:space="preserve">2022)</w:t>
      </w:r>
      <w:r>
        <w:t xml:space="preserve">. To date, however, an appreciation for the wide-reaching impacts that changes in variance may have on populations and communities remains limited. The ecological consequences of changes in physiological rate variance across aquatic and terrestrial ecosystems remain unclear. What we desperately need now are the development of theoretical models that better integrate intrapopulation variation into mechanistic physiological models or ones that better capture stochasticity such as individual based models. Our meta-analytic findings can help us better position ourselves to start asking questions about the ecological and evolutionary consequences of changes in variance in physiological rates.</w:t>
      </w:r>
    </w:p>
    <w:bookmarkEnd w:id="72"/>
    <w:bookmarkStart w:id="73" w:name="limitations"/>
    <w:p>
      <w:pPr>
        <w:pStyle w:val="Heading3"/>
      </w:pPr>
      <w:r>
        <w:rPr>
          <w:iCs/>
          <w:i/>
          <w:bCs/>
          <w:b/>
        </w:rPr>
        <w:t xml:space="preserve">Limitations</w:t>
      </w:r>
    </w:p>
    <w:p>
      <w:pPr>
        <w:pStyle w:val="FirstParagraph"/>
      </w:pPr>
      <w:r>
        <w:t xml:space="preserve">A number of limitations need to be recognised to better contextualise our results. First, and as mentioned above, the evolutionary implications of changes in relative variances in physiological rates is still unclear because we lack a full understanding of how much variation is genetic versus environmental, or how traits are related to fitness. Second, while we found no relationships between historical climate variability / predictability and capacity for plasticity this does not necessarily mean they are not important. There are major challenges to estimating realistic microthermal environments experienced by taxa; it is possible that more fine-scale resolution of the habitats that organisms occupy will elucidate expected patterns. Third, while we show general patterns across taxa and habitats it is important to recognise that this does not mean such patterns apply to all populations. Substantial variation in acclimation responses and changes in variance exist among populations as evidenced by wide prediction intervals. As such, finer scale analyses that look at acclimation responses</w:t>
      </w:r>
      <w:r>
        <w:t xml:space="preserve"> </w:t>
      </w:r>
      <w:r>
        <w:rPr>
          <w:iCs/>
          <w:i/>
        </w:rPr>
        <w:t xml:space="preserve">and</w:t>
      </w:r>
      <w:r>
        <w:t xml:space="preserve"> </w:t>
      </w:r>
      <w:r>
        <w:t xml:space="preserve">changes in relative variance will be beneficial for developing a better understanding of their interplay when considering how populations will be impacted by climate change.</w:t>
      </w:r>
    </w:p>
    <w:bookmarkEnd w:id="73"/>
    <w:bookmarkStart w:id="74" w:name="conclusions-and-future-directions"/>
    <w:p>
      <w:pPr>
        <w:pStyle w:val="Heading3"/>
      </w:pPr>
      <w:r>
        <w:rPr>
          <w:iCs/>
          <w:i/>
          <w:bCs/>
          <w:b/>
        </w:rPr>
        <w:t xml:space="preserve">Conclusions and future directions</w:t>
      </w:r>
    </w:p>
    <w:p>
      <w:pPr>
        <w:pStyle w:val="FirstParagraph"/>
      </w:pPr>
      <w:r>
        <w:t xml:space="preserve">Enhanced knowledge of how variation in physiological rates vary across populations and species and the degree to which they can be adjusted in response to the environment may increase our ability to make more informed predictions about the ecological and evolutionary dynamics of natural populations</w:t>
      </w:r>
      <w:r>
        <w:t xml:space="preserve"> </w:t>
      </w:r>
      <w:r>
        <w:t xml:space="preserve">(Forsman 2015)</w:t>
      </w:r>
      <w:r>
        <w:t xml:space="preserve">.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variance change energy flow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bookmarkEnd w:id="74"/>
    <w:bookmarkEnd w:id="75"/>
    <w:bookmarkStart w:id="151" w:name="references"/>
    <w:p>
      <w:pPr>
        <w:pStyle w:val="Heading2"/>
      </w:pPr>
      <w:r>
        <w:t xml:space="preserve">References</w:t>
      </w:r>
    </w:p>
    <w:p>
      <w:pPr>
        <w:pStyle w:val="FirstParagraph"/>
      </w:pPr>
    </w:p>
    <w:bookmarkStart w:id="150" w:name="refs"/>
    <w:bookmarkStart w:id="76"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76"/>
    <w:bookmarkStart w:id="77"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77"/>
    <w:bookmarkStart w:id="78"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8"/>
    <w:bookmarkStart w:id="79"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9"/>
    <w:bookmarkStart w:id="80"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80"/>
    <w:bookmarkStart w:id="81"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81"/>
    <w:bookmarkStart w:id="82" w:name="ref-carter2020life"/>
    <w:p>
      <w:pPr>
        <w:pStyle w:val="Bibliography"/>
      </w:pPr>
      <w:r>
        <w:t xml:space="preserve">Carter, A.W. &amp; Sheldon, K.S. (2020). Life stages differ in plasticity to temperature fluctuations and uniquely contribute to adult phenotype in onthophagus taurus dung beetles.</w:t>
      </w:r>
      <w:r>
        <w:t xml:space="preserve"> </w:t>
      </w:r>
      <w:r>
        <w:rPr>
          <w:iCs/>
          <w:i/>
        </w:rPr>
        <w:t xml:space="preserve">Journal of Experimental Biology</w:t>
      </w:r>
      <w:r>
        <w:t xml:space="preserve">, 223, jeb227884.</w:t>
      </w:r>
    </w:p>
    <w:bookmarkEnd w:id="82"/>
    <w:bookmarkStart w:id="83"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83"/>
    <w:bookmarkStart w:id="84"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84"/>
    <w:bookmarkStart w:id="85"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85"/>
    <w:bookmarkStart w:id="86"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86"/>
    <w:bookmarkStart w:id="87"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87"/>
    <w:bookmarkStart w:id="88"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8"/>
    <w:bookmarkStart w:id="89"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89"/>
    <w:bookmarkStart w:id="90"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90"/>
    <w:bookmarkStart w:id="9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91"/>
    <w:bookmarkStart w:id="9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92"/>
    <w:bookmarkStart w:id="93" w:name="ref-hallsson2012selection"/>
    <w:p>
      <w:pPr>
        <w:pStyle w:val="Bibliography"/>
      </w:pPr>
      <w:r>
        <w:t xml:space="preserve">Hallsson, L.R. &amp; Björklund, M. (2012). Selection in a fluctuating environment leads to decreased genetic variation and facilitates the evolution of phenotypic plasticity.</w:t>
      </w:r>
      <w:r>
        <w:t xml:space="preserve"> </w:t>
      </w:r>
      <w:r>
        <w:rPr>
          <w:iCs/>
          <w:i/>
        </w:rPr>
        <w:t xml:space="preserve">Journal of evolutionary biology</w:t>
      </w:r>
      <w:r>
        <w:t xml:space="preserve">, 25, 1275–1290.</w:t>
      </w:r>
    </w:p>
    <w:bookmarkEnd w:id="93"/>
    <w:bookmarkStart w:id="94" w:name="ref-hart2016variation"/>
    <w:p>
      <w:pPr>
        <w:pStyle w:val="Bibliography"/>
      </w:pPr>
      <w:r>
        <w:t xml:space="preserve">Hart, S.P., Schreiber, S.J. &amp; Levine, J.M. (2016). How variation between individuals affects species coexistence.</w:t>
      </w:r>
      <w:r>
        <w:t xml:space="preserve"> </w:t>
      </w:r>
      <w:r>
        <w:rPr>
          <w:iCs/>
          <w:i/>
        </w:rPr>
        <w:t xml:space="preserve">Ecology letters</w:t>
      </w:r>
      <w:r>
        <w:t xml:space="preserve">, 19, 825–838.</w:t>
      </w:r>
    </w:p>
    <w:bookmarkEnd w:id="94"/>
    <w:bookmarkStart w:id="95"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95"/>
    <w:bookmarkStart w:id="96"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96"/>
    <w:bookmarkStart w:id="97"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97"/>
    <w:bookmarkStart w:id="98"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98"/>
    <w:bookmarkStart w:id="99" w:name="ref-hoffmann2013upper"/>
    <w:p>
      <w:pPr>
        <w:pStyle w:val="Bibliography"/>
      </w:pPr>
      <w:r>
        <w:t xml:space="preserve">Hoffmann, A.A., Chown, S.L. &amp; Clusella-Trullas, S. (2013). Upper thermal limits in terrestrial ectotherms: How constrained are they?</w:t>
      </w:r>
      <w:r>
        <w:t xml:space="preserve"> </w:t>
      </w:r>
      <w:r>
        <w:rPr>
          <w:iCs/>
          <w:i/>
        </w:rPr>
        <w:t xml:space="preserve">Functional Ecology</w:t>
      </w:r>
      <w:r>
        <w:t xml:space="preserve">, 27, 934–949.</w:t>
      </w:r>
    </w:p>
    <w:bookmarkEnd w:id="99"/>
    <w:bookmarkStart w:id="100" w:name="ref-hoffmann2011climate"/>
    <w:p>
      <w:pPr>
        <w:pStyle w:val="Bibliography"/>
      </w:pPr>
      <w:r>
        <w:t xml:space="preserve">Hoffmann, A.A. &amp; Sgrò, C.M. (2011). Climate change and evolutionary adaptation.</w:t>
      </w:r>
      <w:r>
        <w:t xml:space="preserve"> </w:t>
      </w:r>
      <w:r>
        <w:rPr>
          <w:iCs/>
          <w:i/>
        </w:rPr>
        <w:t xml:space="preserve">Nature</w:t>
      </w:r>
      <w:r>
        <w:t xml:space="preserve">, 470, 479–485.</w:t>
      </w:r>
    </w:p>
    <w:bookmarkEnd w:id="100"/>
    <w:bookmarkStart w:id="101"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01"/>
    <w:bookmarkStart w:id="102"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02"/>
    <w:bookmarkStart w:id="10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03"/>
    <w:bookmarkStart w:id="104"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04"/>
    <w:bookmarkStart w:id="105" w:name="ref-leung2023phenotypic"/>
    <w:p>
      <w:pPr>
        <w:pStyle w:val="Bibliography"/>
      </w:pPr>
      <w:r>
        <w:t xml:space="preserve">Leung, C., Grulois, D., Quadrana, L. &amp; Chevin, L.-M. (2023). Phenotypic plasticity evolves at multiple biological levels in response to environmental predictability in a long-term experiment with a halotolerant microalga.</w:t>
      </w:r>
      <w:r>
        <w:t xml:space="preserve"> </w:t>
      </w:r>
      <w:r>
        <w:rPr>
          <w:iCs/>
          <w:i/>
        </w:rPr>
        <w:t xml:space="preserve">Plos Biology</w:t>
      </w:r>
      <w:r>
        <w:t xml:space="preserve">, 21, e3001895.</w:t>
      </w:r>
    </w:p>
    <w:bookmarkEnd w:id="105"/>
    <w:bookmarkStart w:id="106"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06"/>
    <w:bookmarkStart w:id="107" w:name="ref-martin2015age"/>
    <w:p>
      <w:pPr>
        <w:pStyle w:val="Bibliography"/>
      </w:pPr>
      <w:r>
        <w:t xml:space="preserve">Martin, T.E. (2015). Age-related mortality explains life history strategies of tropical and temperate songbirds.</w:t>
      </w:r>
      <w:r>
        <w:t xml:space="preserve"> </w:t>
      </w:r>
      <w:r>
        <w:rPr>
          <w:iCs/>
          <w:i/>
        </w:rPr>
        <w:t xml:space="preserve">Science</w:t>
      </w:r>
      <w:r>
        <w:t xml:space="preserve">, 349, 966–970.</w:t>
      </w:r>
    </w:p>
    <w:bookmarkEnd w:id="107"/>
    <w:bookmarkStart w:id="108"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08"/>
    <w:bookmarkStart w:id="109" w:name="ref-merila2014climate"/>
    <w:p>
      <w:pPr>
        <w:pStyle w:val="Bibliography"/>
      </w:pPr>
      <w:r>
        <w:t xml:space="preserve">Merilä, J. &amp; Hendry, A.P. (2014). Climate change, adaptation, and phenotypic plasticity: The problem and the evidence.</w:t>
      </w:r>
      <w:r>
        <w:t xml:space="preserve"> </w:t>
      </w:r>
      <w:r>
        <w:rPr>
          <w:iCs/>
          <w:i/>
        </w:rPr>
        <w:t xml:space="preserve">Evolutionary applications</w:t>
      </w:r>
      <w:r>
        <w:t xml:space="preserve">, 7, 1–14.</w:t>
      </w:r>
    </w:p>
    <w:bookmarkEnd w:id="109"/>
    <w:bookmarkStart w:id="110"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10"/>
    <w:bookmarkStart w:id="111" w:name="ref-moghadam2019heat"/>
    <w:p>
      <w:pPr>
        <w:pStyle w:val="Bibliography"/>
      </w:pPr>
      <w:r>
        <w:t xml:space="preserve">Moghadam, N.N., Ketola, T., Pertoldi, C., Bahrndorff, S. &amp; Kristensen, T.N. (2019). Heat hardening capacity in drosophila melanogaster is life stage-specific and juveniles show the highest plasticity.</w:t>
      </w:r>
      <w:r>
        <w:t xml:space="preserve"> </w:t>
      </w:r>
      <w:r>
        <w:rPr>
          <w:iCs/>
          <w:i/>
        </w:rPr>
        <w:t xml:space="preserve">Biology letters</w:t>
      </w:r>
      <w:r>
        <w:t xml:space="preserve">, 15, 20180628.</w:t>
      </w:r>
    </w:p>
    <w:bookmarkEnd w:id="111"/>
    <w:bookmarkStart w:id="112"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12"/>
    <w:bookmarkStart w:id="113"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13"/>
    <w:bookmarkStart w:id="114" w:name="ref-nakagawaorchard"/>
    <w:p>
      <w:pPr>
        <w:pStyle w:val="Bibliography"/>
      </w:pPr>
      <w:r>
        <w:t xml:space="preserve">Nakagawa, S., Lagisz, M., O’Dea, R.E., Pottier, P., Rutkowska, J., Senior, A.M.,</w:t>
      </w:r>
      <w:r>
        <w:t xml:space="preserve"> </w:t>
      </w:r>
      <w:r>
        <w:rPr>
          <w:iCs/>
          <w:i/>
        </w:rPr>
        <w:t xml:space="preserve">et al.</w:t>
      </w:r>
      <w:r>
        <w:t xml:space="preserve"> (n.d.). orchaRd 2.0: An r package for visualising meta-analyses with orchard plots.</w:t>
      </w:r>
      <w:r>
        <w:t xml:space="preserve"> </w:t>
      </w:r>
      <w:r>
        <w:rPr>
          <w:iCs/>
          <w:i/>
        </w:rPr>
        <w:t xml:space="preserve">Methods in Ecology and Evolution</w:t>
      </w:r>
      <w:r>
        <w:t xml:space="preserve">, 14, 2003–2010.</w:t>
      </w:r>
    </w:p>
    <w:bookmarkEnd w:id="114"/>
    <w:bookmarkStart w:id="11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15"/>
    <w:bookmarkStart w:id="11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16"/>
    <w:bookmarkStart w:id="11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17"/>
    <w:bookmarkStart w:id="11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18"/>
    <w:bookmarkStart w:id="119" w:name="ref-Noble2017-mz"/>
    <w:p>
      <w:pPr>
        <w:pStyle w:val="Bibliography"/>
      </w:pPr>
      <w:r>
        <w:t xml:space="preserve">Noble, D.W.A., Lagisz, M., O’Dea, R.E. &amp; Nakagawa, S. (2017). Non‐independence and sensitivity analyses in ecological and evolutionary meta‐analyses.</w:t>
      </w:r>
      <w:r>
        <w:t xml:space="preserve"> </w:t>
      </w:r>
      <w:r>
        <w:rPr>
          <w:iCs/>
          <w:i/>
        </w:rPr>
        <w:t xml:space="preserve">Molecular Ecology</w:t>
      </w:r>
      <w:r>
        <w:t xml:space="preserve">, 26, 2410–2425.</w:t>
      </w:r>
    </w:p>
    <w:bookmarkEnd w:id="119"/>
    <w:bookmarkStart w:id="120"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20"/>
    <w:bookmarkStart w:id="121" w:name="ref-noble2019plastic"/>
    <w:p>
      <w:pPr>
        <w:pStyle w:val="Bibliography"/>
      </w:pPr>
      <w:r>
        <w:t xml:space="preserve">Noble, D.W., Radersma, R. &amp; Uller, T. (2019). Plastic responses to novel environments are biased towards phenotype dimensions with high additive genetic variation.</w:t>
      </w:r>
      <w:r>
        <w:t xml:space="preserve"> </w:t>
      </w:r>
      <w:r>
        <w:rPr>
          <w:iCs/>
          <w:i/>
        </w:rPr>
        <w:t xml:space="preserve">Proceedings of the National Academy of Sciences</w:t>
      </w:r>
      <w:r>
        <w:t xml:space="preserve">, 116, 13452–13461.</w:t>
      </w:r>
    </w:p>
    <w:bookmarkEnd w:id="121"/>
    <w:bookmarkStart w:id="122"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22"/>
    <w:bookmarkStart w:id="123"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23"/>
    <w:bookmarkStart w:id="124"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24"/>
    <w:bookmarkStart w:id="125"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25"/>
    <w:bookmarkStart w:id="12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26"/>
    <w:bookmarkStart w:id="12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27"/>
    <w:bookmarkStart w:id="12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28"/>
    <w:bookmarkStart w:id="129"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29"/>
    <w:bookmarkStart w:id="130" w:name="ref-radersma2020plasticity"/>
    <w:p>
      <w:pPr>
        <w:pStyle w:val="Bibliography"/>
      </w:pPr>
      <w:r>
        <w:t xml:space="preserve">Radersma, R., Noble, D.W. &amp; Uller, T. (2020). Plasticity leaves a phenotypic signature during local adaptation.</w:t>
      </w:r>
      <w:r>
        <w:t xml:space="preserve"> </w:t>
      </w:r>
      <w:r>
        <w:rPr>
          <w:iCs/>
          <w:i/>
        </w:rPr>
        <w:t xml:space="preserve">Evolution Letters</w:t>
      </w:r>
      <w:r>
        <w:t xml:space="preserve">, 4, 360–370.</w:t>
      </w:r>
    </w:p>
    <w:bookmarkEnd w:id="130"/>
    <w:bookmarkStart w:id="131"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31"/>
    <w:bookmarkStart w:id="132" w:name="ref-rescan2022experimental"/>
    <w:p>
      <w:pPr>
        <w:pStyle w:val="Bibliography"/>
      </w:pPr>
      <w:r>
        <w:t xml:space="preserve">Rescan, M., Leurs, N., Grulois, D. &amp; Chevin, L.-M. (2022). Experimental evolution of environmental tolerance, acclimation, and physiological plasticity in a randomly fluctuating environment.</w:t>
      </w:r>
      <w:r>
        <w:t xml:space="preserve"> </w:t>
      </w:r>
      <w:r>
        <w:rPr>
          <w:iCs/>
          <w:i/>
        </w:rPr>
        <w:t xml:space="preserve">Evolution Letters</w:t>
      </w:r>
      <w:r>
        <w:t xml:space="preserve">, 6, 522–536.</w:t>
      </w:r>
    </w:p>
    <w:bookmarkEnd w:id="132"/>
    <w:bookmarkStart w:id="133"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33"/>
    <w:bookmarkStart w:id="134"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34"/>
    <w:bookmarkStart w:id="135"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35"/>
    <w:bookmarkStart w:id="136"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36"/>
    <w:bookmarkStart w:id="137"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37"/>
    <w:bookmarkStart w:id="13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38"/>
    <w:bookmarkStart w:id="13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39"/>
    <w:bookmarkStart w:id="140" w:name="ref-stearns1976life"/>
    <w:p>
      <w:pPr>
        <w:pStyle w:val="Bibliography"/>
      </w:pPr>
      <w:r>
        <w:t xml:space="preserve">Stearns, S.C. (1976). Life-history tactics: A review of the ideas.</w:t>
      </w:r>
      <w:r>
        <w:t xml:space="preserve"> </w:t>
      </w:r>
      <w:r>
        <w:rPr>
          <w:iCs/>
          <w:i/>
        </w:rPr>
        <w:t xml:space="preserve">The Quarterly review of biology</w:t>
      </w:r>
      <w:r>
        <w:t xml:space="preserve">, 51, 3–47.</w:t>
      </w:r>
    </w:p>
    <w:bookmarkEnd w:id="140"/>
    <w:bookmarkStart w:id="141"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41"/>
    <w:bookmarkStart w:id="142"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42"/>
    <w:bookmarkStart w:id="143"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43"/>
    <w:bookmarkStart w:id="144" w:name="ref-urban2023and"/>
    <w:p>
      <w:pPr>
        <w:pStyle w:val="Bibliography"/>
      </w:pPr>
      <w:r>
        <w:t xml:space="preserve">Urban, M.C., Swaegers, J., Stoks, R., Snook, R.R., Otto, S.P., Noble, D.W.,</w:t>
      </w:r>
      <w:r>
        <w:t xml:space="preserve"> </w:t>
      </w:r>
      <w:r>
        <w:rPr>
          <w:iCs/>
          <w:i/>
        </w:rPr>
        <w:t xml:space="preserve">et al.</w:t>
      </w:r>
      <w:r>
        <w:t xml:space="preserve"> (2023). When and how can we predict adaptive responses to climate change?</w:t>
      </w:r>
      <w:r>
        <w:t xml:space="preserve"> </w:t>
      </w:r>
      <w:r>
        <w:rPr>
          <w:iCs/>
          <w:i/>
        </w:rPr>
        <w:t xml:space="preserve">Evolution Letters</w:t>
      </w:r>
      <w:r>
        <w:t xml:space="preserve">.</w:t>
      </w:r>
    </w:p>
    <w:bookmarkEnd w:id="144"/>
    <w:bookmarkStart w:id="145"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45"/>
    <w:bookmarkStart w:id="146"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46"/>
    <w:bookmarkStart w:id="147"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47"/>
    <w:bookmarkStart w:id="148"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48"/>
    <w:bookmarkStart w:id="149"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49"/>
    <w:bookmarkEnd w:id="150"/>
    <w:p>
      <w:pPr>
        <w:pStyle w:val="BodyText"/>
      </w:pPr>
    </w:p>
    <w:bookmarkEnd w:id="151"/>
    <w:bookmarkStart w:id="181" w:name="supplemental-results-and-figures"/>
    <w:p>
      <w:pPr>
        <w:pStyle w:val="Heading2"/>
      </w:pPr>
      <w:r>
        <w:t xml:space="preserve">Supplemental Results and Figures</w:t>
      </w:r>
    </w:p>
    <w:bookmarkStart w:id="180" w:name="prisma-flow-diagram"/>
    <w:p>
      <w:pPr>
        <w:pStyle w:val="Heading3"/>
      </w:pPr>
      <w:r>
        <w:t xml:space="preserve">PRISMA Flow Diagram</w:t>
      </w:r>
    </w:p>
    <w:tbl>
      <w:tblPr>
        <w:tblStyle w:val="Table"/>
        <w:tblW w:type="pct" w:w="5000"/>
        <w:tblLook w:firstRow="0" w:lastRow="0" w:firstColumn="0" w:lastColumn="0" w:noHBand="0" w:noVBand="0" w:val="0000"/>
      </w:tblPr>
      <w:tblGrid>
        <w:gridCol w:w="7920"/>
      </w:tblGrid>
      <w:tr>
        <w:tc>
          <w:tcPr/>
          <w:bookmarkStart w:id="155" w:name="fig-prisma"/>
          <w:p>
            <w:pPr>
              <w:pStyle w:val="Figure"/>
              <w:jc w:val="center"/>
            </w:pPr>
            <w:r>
              <w:drawing>
                <wp:inline>
                  <wp:extent cx="6680200" cy="5111282"/>
                  <wp:effectExtent b="0" l="0" r="0" t="0"/>
                  <wp:docPr descr="" title="" id="153" name="Picture"/>
                  <a:graphic>
                    <a:graphicData uri="http://schemas.openxmlformats.org/drawingml/2006/picture">
                      <pic:pic>
                        <pic:nvPicPr>
                          <pic:cNvPr descr="ms_files/figure-docx/fig-prisma-1.png" id="154" name="Picture"/>
                          <pic:cNvPicPr>
                            <a:picLocks noChangeArrowheads="1" noChangeAspect="1"/>
                          </pic:cNvPicPr>
                        </pic:nvPicPr>
                        <pic:blipFill>
                          <a:blip r:embed="rId152"/>
                          <a:stretch>
                            <a:fillRect/>
                          </a:stretch>
                        </pic:blipFill>
                        <pic:spPr bwMode="auto">
                          <a:xfrm>
                            <a:off x="0" y="0"/>
                            <a:ext cx="6680200" cy="5111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PRISMA flow diagram of the literature search and screening process.</w:t>
            </w:r>
          </w:p>
          <w:bookmarkEnd w:id="155"/>
        </w:tc>
      </w:tr>
    </w:tbl>
    <w:bookmarkStart w:id="164" w:name="Xb63006acf3bc5b84d50a4986f89915cdb41715e"/>
    <w:p>
      <w:pPr>
        <w:pStyle w:val="Heading4"/>
      </w:pPr>
      <w:r>
        <w:t xml:space="preserve">Acute and acclimation</w:t>
      </w:r>
      <w:r>
        <w:t xml:space="preserve"> </w:t>
      </w:r>
      <m:oMath>
        <m:r>
          <m:t>l</m:t>
        </m:r>
        <m:r>
          <m:t>n</m:t>
        </m:r>
        <m:r>
          <m:t>R</m:t>
        </m:r>
        <m:sSub>
          <m:e>
            <m:r>
              <m:t>R</m:t>
            </m:r>
          </m:e>
          <m:sub>
            <m:sSub>
              <m:e>
                <m:r>
                  <m:t>Q</m:t>
                </m:r>
              </m:e>
              <m:sub>
                <m:r>
                  <m:t>10</m:t>
                </m:r>
              </m:sub>
            </m:sSub>
          </m:sub>
        </m:sSub>
      </m:oMath>
      <w:r>
        <w:t xml:space="preserve"> </w:t>
      </w:r>
      <w:r>
        <w:t xml:space="preserve">for different trait categories across marine, freshwater and terrestrial taxa</w:t>
      </w:r>
    </w:p>
    <w:tbl>
      <w:tblPr>
        <w:tblStyle w:val="Table"/>
        <w:tblW w:type="pct" w:w="5000"/>
        <w:tblLook w:firstRow="0" w:lastRow="0" w:firstColumn="0" w:lastColumn="0" w:noHBand="0" w:noVBand="0" w:val="0000"/>
      </w:tblPr>
      <w:tblGrid>
        <w:gridCol w:w="7920"/>
      </w:tblGrid>
      <w:tr>
        <w:tc>
          <w:tcPr/>
          <w:bookmarkStart w:id="159" w:name="fig-2"/>
          <w:p>
            <w:pPr>
              <w:pStyle w:val="Figure"/>
              <w:jc w:val="center"/>
            </w:pPr>
            <w:r>
              <w:drawing>
                <wp:inline>
                  <wp:extent cx="6680200" cy="9352280"/>
                  <wp:effectExtent b="0" l="0" r="0" t="0"/>
                  <wp:docPr descr="" title="" id="157" name="Picture"/>
                  <a:graphic>
                    <a:graphicData uri="http://schemas.openxmlformats.org/drawingml/2006/picture">
                      <pic:pic>
                        <pic:nvPicPr>
                          <pic:cNvPr descr="ms_files/figure-docx/fig-2-1.png" id="158" name="Picture"/>
                          <pic:cNvPicPr>
                            <a:picLocks noChangeArrowheads="1" noChangeAspect="1"/>
                          </pic:cNvPicPr>
                        </pic:nvPicPr>
                        <pic:blipFill>
                          <a:blip r:embed="rId156"/>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Acute and Acclimation</w:t>
            </w:r>
            <w:r>
              <w:t xml:space="preserve"> </w:t>
            </w:r>
            <m:oMath>
              <m:r>
                <m:t>l</m:t>
              </m:r>
              <m:r>
                <m:t>n</m:t>
              </m:r>
              <m:r>
                <m:t>R</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63" w:name="fig-cvrtrait"/>
          <w:p>
            <w:pPr>
              <w:pStyle w:val="Figure"/>
              <w:jc w:val="center"/>
            </w:pPr>
            <w:r>
              <w:drawing>
                <wp:inline>
                  <wp:extent cx="6680200" cy="9352280"/>
                  <wp:effectExtent b="0" l="0" r="0" t="0"/>
                  <wp:docPr descr="" title="" id="161" name="Picture"/>
                  <a:graphic>
                    <a:graphicData uri="http://schemas.openxmlformats.org/drawingml/2006/picture">
                      <pic:pic>
                        <pic:nvPicPr>
                          <pic:cNvPr descr="ms_files/figure-docx/fig-cvrtrait-1.png" id="162" name="Picture"/>
                          <pic:cNvPicPr>
                            <a:picLocks noChangeArrowheads="1" noChangeAspect="1"/>
                          </pic:cNvPicPr>
                        </pic:nvPicPr>
                        <pic:blipFill>
                          <a:blip r:embed="rId160"/>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63"/>
        </w:tc>
      </w:tr>
    </w:tbl>
    <w:bookmarkEnd w:id="164"/>
    <w:bookmarkStart w:id="169"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68" w:name="fig-s1"/>
          <w:p>
            <w:pPr>
              <w:pStyle w:val="Figure"/>
              <w:jc w:val="center"/>
            </w:pPr>
            <w:r>
              <w:drawing>
                <wp:inline>
                  <wp:extent cx="6680200" cy="4647095"/>
                  <wp:effectExtent b="0" l="0" r="0" t="0"/>
                  <wp:docPr descr="" title="" id="166" name="Picture"/>
                  <a:graphic>
                    <a:graphicData uri="http://schemas.openxmlformats.org/drawingml/2006/picture">
                      <pic:pic>
                        <pic:nvPicPr>
                          <pic:cNvPr descr="ms_files/figure-docx/fig-s1-1.png" id="167" name="Picture"/>
                          <pic:cNvPicPr>
                            <a:picLocks noChangeArrowheads="1" noChangeAspect="1"/>
                          </pic:cNvPicPr>
                        </pic:nvPicPr>
                        <pic:blipFill>
                          <a:blip r:embed="rId165"/>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Estimated mean</w:t>
            </w:r>
            <w:r>
              <w:t xml:space="preserve"> </w:t>
            </w:r>
            <m:oMath>
              <m:r>
                <m:t>l</m:t>
              </m:r>
              <m:r>
                <m:t>n</m:t>
              </m:r>
              <m:r>
                <m:t>V</m:t>
              </m:r>
              <m:sSub>
                <m:e>
                  <m:r>
                    <m:t>R</m:t>
                  </m:r>
                </m:e>
                <m:sub>
                  <m:sSub>
                    <m:e>
                      <m:r>
                        <m:t>Q</m:t>
                      </m:r>
                    </m:e>
                    <m:sub>
                      <m:r>
                        <m:t>10</m:t>
                      </m:r>
                    </m:sub>
                  </m:sSub>
                </m:sub>
              </m:sSub>
            </m:oMath>
            <w:r>
              <w:t xml:space="preserve"> </w:t>
            </w:r>
            <w:r>
              <w:t xml:space="preserve">for marine, freshwater and terrestrial systems. Note there were no differences between acute and acclimation</w:t>
            </w:r>
            <w:r>
              <w:t xml:space="preserve"> </w:t>
            </w:r>
            <m:oMath>
              <m:sSub>
                <m:e>
                  <m:r>
                    <m:t>Q</m:t>
                  </m:r>
                </m:e>
                <m:sub>
                  <m:r>
                    <m:t>10</m:t>
                  </m:r>
                </m:sub>
              </m:sSub>
            </m:oMath>
            <w:r>
              <w:t xml:space="preserve"> </w:t>
            </w:r>
            <w:r>
              <w:t xml:space="preserve">types so they were averaged. Thick black bars are 95% confidence intervals (CI’s) and thin bars 95% prediction intervals (PI’s). The percentage change in variance is also back calculated. Note that these are raw variances and do not account for changes in mean physiological rates. k = total number of effect size estimates while the numbers in brackets indicate the number of species.</w:t>
            </w:r>
          </w:p>
          <w:bookmarkEnd w:id="168"/>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db9480d1-2e86-4a2b-949c-12219d7ba00a"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b9480d1-2e86-4a2b-949c-12219d7ba00a"/>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69"/>
    <w:bookmarkStart w:id="174"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73" w:name="fig-s3"/>
          <w:p>
            <w:pPr>
              <w:pStyle w:val="Figure"/>
              <w:jc w:val="center"/>
            </w:pPr>
            <w:r>
              <w:drawing>
                <wp:inline>
                  <wp:extent cx="6680200" cy="2379821"/>
                  <wp:effectExtent b="0" l="0" r="0" t="0"/>
                  <wp:docPr descr="" title="" id="171" name="Picture"/>
                  <a:graphic>
                    <a:graphicData uri="http://schemas.openxmlformats.org/drawingml/2006/picture">
                      <pic:pic>
                        <pic:nvPicPr>
                          <pic:cNvPr descr="ms_files/figure-docx/fig-s3-1.png" id="172" name="Picture"/>
                          <pic:cNvPicPr>
                            <a:picLocks noChangeArrowheads="1" noChangeAspect="1"/>
                          </pic:cNvPicPr>
                        </pic:nvPicPr>
                        <pic:blipFill>
                          <a:blip r:embed="rId170"/>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73"/>
        </w:tc>
      </w:tr>
    </w:tbl>
    <w:bookmarkEnd w:id="174"/>
    <w:bookmarkStart w:id="179"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78" w:name="fig-s2"/>
          <w:p>
            <w:pPr>
              <w:pStyle w:val="Figure"/>
              <w:jc w:val="center"/>
            </w:pPr>
            <w:r>
              <w:drawing>
                <wp:inline>
                  <wp:extent cx="6680200" cy="2788257"/>
                  <wp:effectExtent b="0" l="0" r="0" t="0"/>
                  <wp:docPr descr="" title="" id="176" name="Picture"/>
                  <a:graphic>
                    <a:graphicData uri="http://schemas.openxmlformats.org/drawingml/2006/picture">
                      <pic:pic>
                        <pic:nvPicPr>
                          <pic:cNvPr descr="ms_files/figure-docx/fig-s2-1.png" id="177" name="Picture"/>
                          <pic:cNvPicPr>
                            <a:picLocks noChangeArrowheads="1" noChangeAspect="1"/>
                          </pic:cNvPicPr>
                        </pic:nvPicPr>
                        <pic:blipFill>
                          <a:blip r:embed="rId175"/>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78"/>
        </w:tc>
      </w:tr>
    </w:tbl>
    <w:bookmarkEnd w:id="179"/>
    <w:bookmarkEnd w:id="180"/>
    <w:bookmarkEnd w:id="181"/>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56" Target="media/rId156.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160" Target="media/rId160.png" /><Relationship Type="http://schemas.openxmlformats.org/officeDocument/2006/relationships/image" Id="rId63" Target="media/rId63.png" /><Relationship Type="http://schemas.openxmlformats.org/officeDocument/2006/relationships/image" Id="rId152" Target="media/rId152.png" /><Relationship Type="http://schemas.openxmlformats.org/officeDocument/2006/relationships/image" Id="rId165" Target="media/rId165.png" /><Relationship Type="http://schemas.openxmlformats.org/officeDocument/2006/relationships/image" Id="rId175" Target="media/rId175.png" /><Relationship Type="http://schemas.openxmlformats.org/officeDocument/2006/relationships/image" Id="rId170" Target="media/rId17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dcterms:created xsi:type="dcterms:W3CDTF">2024-01-15T06:24:05Z</dcterms:created>
  <dcterms:modified xsi:type="dcterms:W3CDTF">2024-01-15T06:24:05Z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